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3694B7AC"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DD4A4E">
        <w:rPr>
          <w:rFonts w:cs="Arial"/>
          <w:bCs/>
          <w:noProof w:val="0"/>
          <w:sz w:val="24"/>
          <w:szCs w:val="24"/>
        </w:rPr>
        <w:t>7-bis</w:t>
      </w:r>
      <w:r w:rsidR="00044AC7" w:rsidRPr="000665EA">
        <w:rPr>
          <w:rFonts w:cs="Arial"/>
          <w:bCs/>
          <w:noProof w:val="0"/>
          <w:sz w:val="24"/>
          <w:szCs w:val="24"/>
        </w:rPr>
        <w:t>-e</w:t>
      </w:r>
      <w:r w:rsidR="002C1220" w:rsidRPr="000665EA">
        <w:rPr>
          <w:rFonts w:cs="Arial"/>
          <w:bCs/>
          <w:noProof w:val="0"/>
          <w:sz w:val="24"/>
          <w:szCs w:val="24"/>
        </w:rPr>
        <w:tab/>
      </w:r>
      <w:r w:rsidR="00BD794D" w:rsidRPr="00BD794D">
        <w:rPr>
          <w:rFonts w:cs="Arial"/>
          <w:bCs/>
          <w:noProof w:val="0"/>
          <w:sz w:val="24"/>
          <w:szCs w:val="24"/>
        </w:rPr>
        <w:t>R3-22539</w:t>
      </w:r>
      <w:r w:rsidR="00BD794D">
        <w:rPr>
          <w:rFonts w:cs="Arial"/>
          <w:bCs/>
          <w:noProof w:val="0"/>
          <w:sz w:val="24"/>
          <w:szCs w:val="24"/>
        </w:rPr>
        <w:t>2</w:t>
      </w:r>
    </w:p>
    <w:bookmarkEnd w:id="0"/>
    <w:p w14:paraId="5669B020" w14:textId="1C84B01A"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DD4A4E">
        <w:rPr>
          <w:rFonts w:eastAsia="MS Mincho" w:cs="Arial"/>
          <w:sz w:val="24"/>
          <w:szCs w:val="24"/>
        </w:rPr>
        <w:t>10 – 18 Oct</w:t>
      </w:r>
      <w:r w:rsidR="005F10C3" w:rsidRPr="000665EA">
        <w:rPr>
          <w:rFonts w:eastAsia="MS Mincho" w:cs="Arial"/>
          <w:sz w:val="24"/>
          <w:szCs w:val="24"/>
        </w:rPr>
        <w:t xml:space="preserve"> 20</w:t>
      </w:r>
      <w:r w:rsidR="00FA4A45" w:rsidRPr="000665EA">
        <w:rPr>
          <w:rFonts w:eastAsia="MS Mincho" w:cs="Arial"/>
          <w:sz w:val="24"/>
          <w:szCs w:val="24"/>
        </w:rPr>
        <w:t>2</w:t>
      </w:r>
      <w:r w:rsidR="00B87C87">
        <w:rPr>
          <w:rFonts w:eastAsia="MS Mincho" w:cs="Arial"/>
          <w:sz w:val="24"/>
          <w:szCs w:val="24"/>
        </w:rPr>
        <w:t>2</w:t>
      </w:r>
    </w:p>
    <w:p w14:paraId="2F96B0BD" w14:textId="77777777" w:rsidR="002F2360" w:rsidRPr="000665EA" w:rsidRDefault="002F2360" w:rsidP="002F2360">
      <w:pPr>
        <w:pStyle w:val="Header"/>
        <w:tabs>
          <w:tab w:val="left" w:pos="2410"/>
        </w:tabs>
        <w:rPr>
          <w:bCs/>
          <w:noProof w:val="0"/>
          <w:sz w:val="24"/>
        </w:rPr>
      </w:pPr>
    </w:p>
    <w:p w14:paraId="430718D4" w14:textId="6D9F0AE6"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952AE6">
        <w:rPr>
          <w:rFonts w:cs="Arial"/>
          <w:b/>
          <w:bCs/>
          <w:sz w:val="24"/>
        </w:rPr>
        <w:t>14.4</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6E3C9D87"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952AE6">
        <w:rPr>
          <w:rFonts w:ascii="Arial" w:hAnsi="Arial" w:cs="Arial"/>
          <w:b/>
          <w:bCs/>
          <w:sz w:val="24"/>
        </w:rPr>
        <w:t>Data forwarding considerations for selective activation</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5A96ED5D" w:rsidR="005E3D0F" w:rsidRPr="000665EA" w:rsidRDefault="00952AE6" w:rsidP="008572DC">
      <w:bookmarkStart w:id="1" w:name="_Toc474247438"/>
      <w:r>
        <w:t>At RAN3 #117, the work on Selective Activation started, and some initial decisions were made. They seem to assume that selective activation will be a kind of “CPAC with memory”. In this paper, we make some considerations on the consequences for the data forwarding.</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263B75A0" w:rsidR="008559D6" w:rsidRDefault="00952AE6" w:rsidP="008559D6">
      <w:r>
        <w:t>In CPAC, early data forwarding is executed from the source node to the possible candidate nodes. Thus, the “anchor” of the data forwarding is the source node. This is relatively obvious, because once CPAC is executed, there is a new source node, while all other preparations are cancelled and forwarded data discarded.</w:t>
      </w:r>
    </w:p>
    <w:p w14:paraId="521C4B99" w14:textId="555F87DF" w:rsidR="00952AE6" w:rsidRDefault="00952AE6" w:rsidP="008559D6">
      <w:r>
        <w:t>However, if the CPAC configuration remains active also after CPAC execution (i.e.</w:t>
      </w:r>
      <w:r w:rsidR="00C1552A">
        <w:t>,</w:t>
      </w:r>
      <w:r>
        <w:t xml:space="preserve"> other prepared targets are not cancelled), their buffers are not cleared, either. The new source node must continue data forwarding started in another node. To do so, there must be signalling </w:t>
      </w:r>
      <w:r w:rsidR="00BD087C">
        <w:t>to coordinate switching of the sending node, while keeping the receivers</w:t>
      </w:r>
      <w:r>
        <w:t>.</w:t>
      </w:r>
    </w:p>
    <w:p w14:paraId="605F2649" w14:textId="67859A98" w:rsidR="00952AE6" w:rsidRPr="001944EA" w:rsidRDefault="00952AE6" w:rsidP="008559D6">
      <w:pPr>
        <w:rPr>
          <w:b/>
          <w:bCs/>
        </w:rPr>
      </w:pPr>
      <w:r w:rsidRPr="001944EA">
        <w:rPr>
          <w:b/>
          <w:bCs/>
        </w:rPr>
        <w:t>Observation 1: In order to enable continuation of data forwarding, some signalling between the remaining target nodes and the new source is needed</w:t>
      </w:r>
      <w:r w:rsidR="00BD087C">
        <w:rPr>
          <w:b/>
          <w:bCs/>
        </w:rPr>
        <w:t>, likely via the MN</w:t>
      </w:r>
      <w:r w:rsidRPr="001944EA">
        <w:rPr>
          <w:b/>
          <w:bCs/>
        </w:rPr>
        <w:t>.</w:t>
      </w:r>
      <w:r w:rsidR="001E36BD" w:rsidRPr="001944EA">
        <w:rPr>
          <w:b/>
          <w:bCs/>
        </w:rPr>
        <w:t xml:space="preserve"> If the source node is switched often, the signalling burden can be high.</w:t>
      </w:r>
    </w:p>
    <w:p w14:paraId="0D9845C8" w14:textId="3FB3989F" w:rsidR="00C00E32" w:rsidRDefault="001E36BD" w:rsidP="008559D6">
      <w:r>
        <w:t xml:space="preserve">An alternative is enabling a completely different early data forwarding scheme for selective activation: </w:t>
      </w:r>
      <w:r w:rsidR="00BD087C">
        <w:t xml:space="preserve">transmitting the same data </w:t>
      </w:r>
      <w:r>
        <w:t>from the UPF</w:t>
      </w:r>
      <w:r w:rsidR="00BD087C">
        <w:t xml:space="preserve"> to all prepared SNs</w:t>
      </w:r>
      <w:r>
        <w:t xml:space="preserve">. In this case, the UPF is informed about each prepared node and the data is constantly </w:t>
      </w:r>
      <w:r w:rsidR="006E07A1">
        <w:t xml:space="preserve">transmit </w:t>
      </w:r>
      <w:r>
        <w:t xml:space="preserve">there. When the serving </w:t>
      </w:r>
      <w:proofErr w:type="spellStart"/>
      <w:r>
        <w:t>PSCell</w:t>
      </w:r>
      <w:proofErr w:type="spellEnd"/>
      <w:r>
        <w:t xml:space="preserve"> is switched, </w:t>
      </w:r>
      <w:r w:rsidR="00BD087C">
        <w:t xml:space="preserve">the new serving node </w:t>
      </w:r>
      <w:r>
        <w:t xml:space="preserve">starts pushing the data to the UE, but </w:t>
      </w:r>
      <w:r w:rsidR="00BD087C">
        <w:t>data forwarding does not need to be restarted</w:t>
      </w:r>
      <w:r>
        <w:t>.</w:t>
      </w:r>
      <w:r w:rsidR="00BD087C">
        <w:t xml:space="preserve"> This method effectively eliminates data forwarding, because all the possible targets received the data directly from the UPF</w:t>
      </w:r>
      <w:r>
        <w:t>.</w:t>
      </w:r>
    </w:p>
    <w:p w14:paraId="3BAC72BD" w14:textId="67F2D8DC" w:rsidR="001E36BD" w:rsidRPr="001944EA" w:rsidRDefault="001E36BD" w:rsidP="008559D6">
      <w:pPr>
        <w:rPr>
          <w:b/>
          <w:bCs/>
        </w:rPr>
      </w:pPr>
      <w:r w:rsidRPr="001944EA">
        <w:rPr>
          <w:b/>
          <w:bCs/>
        </w:rPr>
        <w:t xml:space="preserve">Proposal 1: RAN3 to analyse feasibility of </w:t>
      </w:r>
      <w:r w:rsidR="00BD087C">
        <w:rPr>
          <w:b/>
          <w:bCs/>
        </w:rPr>
        <w:t xml:space="preserve">simultaneous </w:t>
      </w:r>
      <w:r w:rsidRPr="001944EA">
        <w:rPr>
          <w:b/>
          <w:bCs/>
        </w:rPr>
        <w:t xml:space="preserve">data </w:t>
      </w:r>
      <w:r w:rsidR="00BD087C">
        <w:rPr>
          <w:b/>
          <w:bCs/>
        </w:rPr>
        <w:t xml:space="preserve">transmission </w:t>
      </w:r>
      <w:r w:rsidRPr="001944EA">
        <w:rPr>
          <w:b/>
          <w:bCs/>
        </w:rPr>
        <w:t>from the UPF to the group of nodes prepared for selective activation.</w:t>
      </w:r>
    </w:p>
    <w:p w14:paraId="388A999F" w14:textId="75E07997" w:rsidR="001E36BD" w:rsidRDefault="001E36BD" w:rsidP="008559D6">
      <w:r>
        <w:t>The signalling load in this case depends not on the frequency of changes of the serving node, but how often the set of prepared nodes is modified (i.e.</w:t>
      </w:r>
      <w:r w:rsidR="00AD7145">
        <w:t>,</w:t>
      </w:r>
      <w:r>
        <w:t xml:space="preserve"> how often nodes are added or removed from the selective activation set). This may lead to following trade-of:</w:t>
      </w:r>
    </w:p>
    <w:p w14:paraId="149F6108" w14:textId="6A766C9A" w:rsidR="001E36BD" w:rsidRDefault="001E36BD" w:rsidP="001944EA">
      <w:pPr>
        <w:pStyle w:val="ListParagraph"/>
        <w:numPr>
          <w:ilvl w:val="0"/>
          <w:numId w:val="40"/>
        </w:numPr>
      </w:pPr>
      <w:r>
        <w:t xml:space="preserve">If the set of nodes prepared for selective activation is updated less often than the serving node changes </w:t>
      </w:r>
      <w:r w:rsidR="001944EA">
        <w:br/>
      </w:r>
      <w:r>
        <w:rPr>
          <w:rFonts w:ascii="Wingdings" w:eastAsia="Wingdings" w:hAnsi="Wingdings" w:cs="Wingdings"/>
        </w:rPr>
        <w:t>è</w:t>
      </w:r>
      <w:r>
        <w:t xml:space="preserve"> the </w:t>
      </w:r>
      <w:r w:rsidR="00BD087C">
        <w:t xml:space="preserve">direct </w:t>
      </w:r>
      <w:r>
        <w:t xml:space="preserve">data </w:t>
      </w:r>
      <w:r w:rsidR="00BD087C">
        <w:t xml:space="preserve">transmission from the UPF </w:t>
      </w:r>
      <w:r>
        <w:t xml:space="preserve">may be </w:t>
      </w:r>
      <w:proofErr w:type="gramStart"/>
      <w:r>
        <w:t>optimal;</w:t>
      </w:r>
      <w:proofErr w:type="gramEnd"/>
    </w:p>
    <w:p w14:paraId="30ACCCF2" w14:textId="4CD909E1" w:rsidR="001E36BD" w:rsidRDefault="001E36BD" w:rsidP="001944EA">
      <w:pPr>
        <w:pStyle w:val="ListParagraph"/>
        <w:numPr>
          <w:ilvl w:val="0"/>
          <w:numId w:val="40"/>
        </w:numPr>
      </w:pPr>
      <w:r>
        <w:t xml:space="preserve">If the serving cell is changed less often than other nodes are cancelled or prepared </w:t>
      </w:r>
      <w:r w:rsidR="001944EA">
        <w:br/>
      </w:r>
      <w:r>
        <w:rPr>
          <w:rFonts w:ascii="Wingdings" w:eastAsia="Wingdings" w:hAnsi="Wingdings" w:cs="Wingdings"/>
        </w:rPr>
        <w:sym w:font="Wingdings" w:char="F0E8"/>
      </w:r>
      <w:r>
        <w:t xml:space="preserve"> classic early data forwarding from the currently serving node may be optimal.</w:t>
      </w:r>
    </w:p>
    <w:p w14:paraId="72006A01" w14:textId="020082BE" w:rsidR="001E6366" w:rsidRDefault="001E6366" w:rsidP="008559D6">
      <w:pPr>
        <w:rPr>
          <w:b/>
          <w:bCs/>
        </w:rPr>
      </w:pPr>
      <w:bookmarkStart w:id="2" w:name="_Hlk115175977"/>
      <w:r>
        <w:rPr>
          <w:b/>
          <w:bCs/>
        </w:rPr>
        <w:t>Observation 2: The optimal solution depends on the assumed selective activation operation and prefers classic data forwarding in case the serving cell does not change often, while the new direct data transmission from the UPF in case the set of prepared SNs does not change often, while the UE often switches among them.</w:t>
      </w:r>
    </w:p>
    <w:bookmarkEnd w:id="2"/>
    <w:p w14:paraId="48B8E21F" w14:textId="2981B5BB" w:rsidR="001E36BD" w:rsidRPr="001944EA" w:rsidRDefault="001E36BD" w:rsidP="008559D6">
      <w:pPr>
        <w:rPr>
          <w:b/>
          <w:bCs/>
        </w:rPr>
      </w:pPr>
      <w:r w:rsidRPr="001944EA">
        <w:rPr>
          <w:b/>
          <w:bCs/>
        </w:rPr>
        <w:t xml:space="preserve">Proposal 2: If data </w:t>
      </w:r>
      <w:r w:rsidR="00076C40">
        <w:rPr>
          <w:b/>
          <w:bCs/>
        </w:rPr>
        <w:t>direct data transmission from the UPF to all prepared SNs</w:t>
      </w:r>
      <w:r w:rsidRPr="001944EA">
        <w:rPr>
          <w:b/>
          <w:bCs/>
        </w:rPr>
        <w:t xml:space="preserve"> is considered feasible, RAN3 should consider the two options and decide which option for early data provisioning to all prepared nodes is optimal.</w:t>
      </w:r>
    </w:p>
    <w:p w14:paraId="28E42E52" w14:textId="77777777" w:rsidR="000F16C4" w:rsidRPr="000665EA" w:rsidRDefault="00CD2620" w:rsidP="00E00CEF">
      <w:pPr>
        <w:pStyle w:val="Heading1"/>
      </w:pPr>
      <w:r w:rsidRPr="000665EA">
        <w:lastRenderedPageBreak/>
        <w:t>3</w:t>
      </w:r>
      <w:r w:rsidR="000F16C4" w:rsidRPr="000665EA">
        <w:tab/>
      </w:r>
      <w:r w:rsidRPr="000665EA">
        <w:t>Conclusions</w:t>
      </w:r>
    </w:p>
    <w:p w14:paraId="1EDB01A3" w14:textId="6586EECA" w:rsidR="002F4257" w:rsidRDefault="002F4257" w:rsidP="00D20DF3">
      <w:pPr>
        <w:jc w:val="both"/>
        <w:rPr>
          <w:bCs/>
        </w:rPr>
      </w:pPr>
      <w:r>
        <w:rPr>
          <w:bCs/>
        </w:rPr>
        <w:t xml:space="preserve">In this paper, </w:t>
      </w:r>
      <w:r w:rsidR="001E6366">
        <w:rPr>
          <w:bCs/>
        </w:rPr>
        <w:t>we discuss different ways of providing data to prepared SNs in case of Selective Activation:</w:t>
      </w:r>
    </w:p>
    <w:p w14:paraId="0483B718" w14:textId="422DDD7D" w:rsidR="001E6366" w:rsidRPr="001E6366" w:rsidRDefault="001E6366" w:rsidP="001E6366">
      <w:pPr>
        <w:pStyle w:val="ListParagraph"/>
        <w:numPr>
          <w:ilvl w:val="0"/>
          <w:numId w:val="41"/>
        </w:numPr>
        <w:jc w:val="both"/>
        <w:rPr>
          <w:bCs/>
        </w:rPr>
      </w:pPr>
      <w:r w:rsidRPr="001E6366">
        <w:rPr>
          <w:bCs/>
        </w:rPr>
        <w:t xml:space="preserve">Either in the form of a classic early data </w:t>
      </w:r>
      <w:proofErr w:type="gramStart"/>
      <w:r w:rsidRPr="001E6366">
        <w:rPr>
          <w:bCs/>
        </w:rPr>
        <w:t>forwarding;</w:t>
      </w:r>
      <w:proofErr w:type="gramEnd"/>
    </w:p>
    <w:p w14:paraId="7496C991" w14:textId="5639F3B2" w:rsidR="001E6366" w:rsidRPr="001E6366" w:rsidRDefault="001E6366" w:rsidP="001E6366">
      <w:pPr>
        <w:pStyle w:val="ListParagraph"/>
        <w:numPr>
          <w:ilvl w:val="0"/>
          <w:numId w:val="41"/>
        </w:numPr>
        <w:jc w:val="both"/>
        <w:rPr>
          <w:bCs/>
        </w:rPr>
      </w:pPr>
      <w:r w:rsidRPr="001E6366">
        <w:rPr>
          <w:bCs/>
        </w:rPr>
        <w:t>Or directly from the UPF to all prepared SNs.</w:t>
      </w:r>
    </w:p>
    <w:p w14:paraId="0846E9D4" w14:textId="16A80005" w:rsidR="001E6366" w:rsidRDefault="001E6366" w:rsidP="00D20DF3">
      <w:pPr>
        <w:jc w:val="both"/>
        <w:rPr>
          <w:bCs/>
        </w:rPr>
      </w:pPr>
      <w:r>
        <w:rPr>
          <w:bCs/>
        </w:rPr>
        <w:t>The 2</w:t>
      </w:r>
      <w:r w:rsidRPr="001E6366">
        <w:rPr>
          <w:bCs/>
          <w:vertAlign w:val="superscript"/>
        </w:rPr>
        <w:t>nd</w:t>
      </w:r>
      <w:r>
        <w:rPr>
          <w:bCs/>
        </w:rPr>
        <w:t xml:space="preserve"> option is very new, so we focus on it. We make following conclusions:</w:t>
      </w:r>
    </w:p>
    <w:p w14:paraId="69B7C54F" w14:textId="77777777" w:rsidR="001E6366" w:rsidRPr="00465A41" w:rsidRDefault="001E6366" w:rsidP="001E6366">
      <w:pPr>
        <w:overflowPunct w:val="0"/>
        <w:autoSpaceDE w:val="0"/>
        <w:autoSpaceDN w:val="0"/>
        <w:adjustRightInd w:val="0"/>
        <w:textAlignment w:val="baseline"/>
        <w:rPr>
          <w:b/>
          <w:bCs/>
        </w:rPr>
      </w:pPr>
      <w:r w:rsidRPr="00465A41">
        <w:rPr>
          <w:b/>
          <w:bCs/>
        </w:rPr>
        <w:t>Observation 1: In order to enable continuation of data forwarding, some signalling between the remaining target nodes and the new source is needed, likely via the MN. If the source node is switched often, the signalling burden can be high.</w:t>
      </w:r>
    </w:p>
    <w:p w14:paraId="4A1949EE" w14:textId="77777777" w:rsidR="001E6366" w:rsidRPr="00465A41" w:rsidRDefault="001E6366" w:rsidP="001E6366">
      <w:pPr>
        <w:overflowPunct w:val="0"/>
        <w:autoSpaceDE w:val="0"/>
        <w:autoSpaceDN w:val="0"/>
        <w:adjustRightInd w:val="0"/>
        <w:textAlignment w:val="baseline"/>
        <w:rPr>
          <w:b/>
          <w:bCs/>
        </w:rPr>
      </w:pPr>
      <w:r w:rsidRPr="00465A41">
        <w:rPr>
          <w:b/>
          <w:bCs/>
        </w:rPr>
        <w:t>Proposal 1: RAN3 to analyse feasibility of simultaneous data transmission from the UPF to the group of nodes prepared for selective activation.</w:t>
      </w:r>
    </w:p>
    <w:p w14:paraId="0ED99A32" w14:textId="77777777" w:rsidR="001E6366" w:rsidRPr="00465A41" w:rsidRDefault="001E6366" w:rsidP="001E6366">
      <w:pPr>
        <w:overflowPunct w:val="0"/>
        <w:autoSpaceDE w:val="0"/>
        <w:autoSpaceDN w:val="0"/>
        <w:adjustRightInd w:val="0"/>
        <w:textAlignment w:val="baseline"/>
        <w:rPr>
          <w:b/>
          <w:bCs/>
        </w:rPr>
      </w:pPr>
      <w:r w:rsidRPr="00465A41">
        <w:rPr>
          <w:b/>
          <w:bCs/>
        </w:rPr>
        <w:t>Observation 2: The optimal solution depends on the assumed selective activation operation and prefers classic data forwarding in case the serving cell does not change often, while the new direct data transmission from the UPF in case the set of prepared SNs does not change often, while the UE often switches among them.</w:t>
      </w:r>
    </w:p>
    <w:p w14:paraId="72DA6F59" w14:textId="77777777" w:rsidR="00076C40" w:rsidRPr="001944EA" w:rsidRDefault="00076C40" w:rsidP="00076C40">
      <w:pPr>
        <w:rPr>
          <w:b/>
          <w:bCs/>
        </w:rPr>
      </w:pPr>
      <w:r w:rsidRPr="001944EA">
        <w:rPr>
          <w:b/>
          <w:bCs/>
        </w:rPr>
        <w:t xml:space="preserve">Proposal 2: If data </w:t>
      </w:r>
      <w:r>
        <w:rPr>
          <w:b/>
          <w:bCs/>
        </w:rPr>
        <w:t>direct data transmission from the UPF to all prepared SNs</w:t>
      </w:r>
      <w:r w:rsidRPr="001944EA">
        <w:rPr>
          <w:b/>
          <w:bCs/>
        </w:rPr>
        <w:t xml:space="preserve"> is considered feasible, RAN3 should consider the two options and decide which option for early data provisioning to all prepared nodes is optimal.</w:t>
      </w:r>
    </w:p>
    <w:p w14:paraId="01293442" w14:textId="23DD10CE" w:rsidR="0022219E" w:rsidRPr="000665EA" w:rsidRDefault="0022219E" w:rsidP="00076C40">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BC46E" w14:textId="77777777" w:rsidR="00753A8B" w:rsidRDefault="00753A8B">
      <w:r>
        <w:separator/>
      </w:r>
    </w:p>
  </w:endnote>
  <w:endnote w:type="continuationSeparator" w:id="0">
    <w:p w14:paraId="40128B35" w14:textId="77777777" w:rsidR="00753A8B" w:rsidRDefault="00753A8B">
      <w:r>
        <w:continuationSeparator/>
      </w:r>
    </w:p>
  </w:endnote>
  <w:endnote w:type="continuationNotice" w:id="1">
    <w:p w14:paraId="3DA6189B" w14:textId="77777777" w:rsidR="00753A8B" w:rsidRDefault="00753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3D68E" w14:textId="77777777" w:rsidR="00753A8B" w:rsidRDefault="00753A8B">
      <w:r>
        <w:separator/>
      </w:r>
    </w:p>
  </w:footnote>
  <w:footnote w:type="continuationSeparator" w:id="0">
    <w:p w14:paraId="21C23CF3" w14:textId="77777777" w:rsidR="00753A8B" w:rsidRDefault="00753A8B">
      <w:r>
        <w:continuationSeparator/>
      </w:r>
    </w:p>
  </w:footnote>
  <w:footnote w:type="continuationNotice" w:id="1">
    <w:p w14:paraId="776C059C" w14:textId="77777777" w:rsidR="00753A8B" w:rsidRDefault="00753A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13B5FC3"/>
    <w:multiLevelType w:val="hybridMultilevel"/>
    <w:tmpl w:val="0DD4C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522EE1"/>
    <w:multiLevelType w:val="hybridMultilevel"/>
    <w:tmpl w:val="3E48D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0"/>
  </w:num>
  <w:num w:numId="3">
    <w:abstractNumId w:val="14"/>
  </w:num>
  <w:num w:numId="4">
    <w:abstractNumId w:val="9"/>
  </w:num>
  <w:num w:numId="5">
    <w:abstractNumId w:val="10"/>
  </w:num>
  <w:num w:numId="6">
    <w:abstractNumId w:val="38"/>
  </w:num>
  <w:num w:numId="7">
    <w:abstractNumId w:val="25"/>
  </w:num>
  <w:num w:numId="8">
    <w:abstractNumId w:val="15"/>
  </w:num>
  <w:num w:numId="9">
    <w:abstractNumId w:val="37"/>
  </w:num>
  <w:num w:numId="10">
    <w:abstractNumId w:val="24"/>
  </w:num>
  <w:num w:numId="11">
    <w:abstractNumId w:val="13"/>
  </w:num>
  <w:num w:numId="12">
    <w:abstractNumId w:val="32"/>
  </w:num>
  <w:num w:numId="13">
    <w:abstractNumId w:val="33"/>
  </w:num>
  <w:num w:numId="14">
    <w:abstractNumId w:val="31"/>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7"/>
  </w:num>
  <w:num w:numId="26">
    <w:abstractNumId w:val="16"/>
  </w:num>
  <w:num w:numId="27">
    <w:abstractNumId w:val="21"/>
  </w:num>
  <w:num w:numId="28">
    <w:abstractNumId w:val="35"/>
  </w:num>
  <w:num w:numId="29">
    <w:abstractNumId w:val="36"/>
  </w:num>
  <w:num w:numId="30">
    <w:abstractNumId w:val="26"/>
  </w:num>
  <w:num w:numId="31">
    <w:abstractNumId w:val="23"/>
  </w:num>
  <w:num w:numId="32">
    <w:abstractNumId w:val="17"/>
  </w:num>
  <w:num w:numId="33">
    <w:abstractNumId w:val="28"/>
  </w:num>
  <w:num w:numId="34">
    <w:abstractNumId w:val="12"/>
  </w:num>
  <w:num w:numId="35">
    <w:abstractNumId w:val="11"/>
  </w:num>
  <w:num w:numId="36">
    <w:abstractNumId w:val="34"/>
  </w:num>
  <w:num w:numId="37">
    <w:abstractNumId w:val="22"/>
  </w:num>
  <w:num w:numId="38">
    <w:abstractNumId w:val="29"/>
  </w:num>
  <w:num w:numId="39">
    <w:abstractNumId w:val="40"/>
  </w:num>
  <w:num w:numId="40">
    <w:abstractNumId w:val="19"/>
  </w:num>
  <w:num w:numId="41">
    <w:abstractNumId w:val="3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76C40"/>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4EA"/>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BD"/>
    <w:rsid w:val="001E36F2"/>
    <w:rsid w:val="001E407C"/>
    <w:rsid w:val="001E6366"/>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499"/>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6C65"/>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6E5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41"/>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45BBC"/>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9782C"/>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11E4"/>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07A1"/>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7D8"/>
    <w:rsid w:val="0075088D"/>
    <w:rsid w:val="007511B4"/>
    <w:rsid w:val="00751B1A"/>
    <w:rsid w:val="00752479"/>
    <w:rsid w:val="00753A8B"/>
    <w:rsid w:val="00755817"/>
    <w:rsid w:val="0075589F"/>
    <w:rsid w:val="00757D40"/>
    <w:rsid w:val="00761EE1"/>
    <w:rsid w:val="0076250D"/>
    <w:rsid w:val="00762711"/>
    <w:rsid w:val="00765BA8"/>
    <w:rsid w:val="00765E5A"/>
    <w:rsid w:val="007709F9"/>
    <w:rsid w:val="00772865"/>
    <w:rsid w:val="00772E0E"/>
    <w:rsid w:val="007752AA"/>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2C"/>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A1B"/>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AE6"/>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0AE6"/>
    <w:rsid w:val="009816B5"/>
    <w:rsid w:val="00984571"/>
    <w:rsid w:val="00985308"/>
    <w:rsid w:val="009876A5"/>
    <w:rsid w:val="0099180C"/>
    <w:rsid w:val="00991B4F"/>
    <w:rsid w:val="00993BBC"/>
    <w:rsid w:val="0099493E"/>
    <w:rsid w:val="00995169"/>
    <w:rsid w:val="00997D92"/>
    <w:rsid w:val="009A3390"/>
    <w:rsid w:val="009A3818"/>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1E87"/>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D7145"/>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EC5"/>
    <w:rsid w:val="00B95C0E"/>
    <w:rsid w:val="00BA0F1F"/>
    <w:rsid w:val="00BA2519"/>
    <w:rsid w:val="00BA4DBE"/>
    <w:rsid w:val="00BA79DD"/>
    <w:rsid w:val="00BB05BD"/>
    <w:rsid w:val="00BC11EC"/>
    <w:rsid w:val="00BC1987"/>
    <w:rsid w:val="00BC434A"/>
    <w:rsid w:val="00BC6DEB"/>
    <w:rsid w:val="00BD087C"/>
    <w:rsid w:val="00BD1EA5"/>
    <w:rsid w:val="00BD24BE"/>
    <w:rsid w:val="00BD2981"/>
    <w:rsid w:val="00BD4231"/>
    <w:rsid w:val="00BD4919"/>
    <w:rsid w:val="00BD5F08"/>
    <w:rsid w:val="00BD794D"/>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0E32"/>
    <w:rsid w:val="00C01A56"/>
    <w:rsid w:val="00C01E2A"/>
    <w:rsid w:val="00C025B4"/>
    <w:rsid w:val="00C063E2"/>
    <w:rsid w:val="00C10D1A"/>
    <w:rsid w:val="00C10EDD"/>
    <w:rsid w:val="00C149EE"/>
    <w:rsid w:val="00C152E8"/>
    <w:rsid w:val="00C1552A"/>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E50C3"/>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1B13131C"/>
    <w:rsid w:val="53E8EE69"/>
    <w:rsid w:val="7266C6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6C40"/>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5AIRPNAIUNRU-1156379521-3103</_dlc_DocId>
    <_dlc_DocIdUrl xmlns="71c5aaf6-e6ce-465b-b873-5148d2a4c105">
      <Url>https://nokia.sharepoint.com/sites/c5g/e2earch/_layouts/15/DocIdRedir.aspx?ID=5AIRPNAIUNRU-1156379521-3103</Url>
      <Description>5AIRPNAIUNRU-1156379521-3103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C371228A-1110-4060-8230-8AA5642C2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153</TotalTime>
  <Pages>2</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4467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forwarding considerations for selective activation</dc:title>
  <dc:subject>3GPP RAN3 #117-bis-e</dc:subject>
  <dc:creator>Benoist Sébire</dc:creator>
  <cp:keywords>&lt;keyword[, keyword, ]&gt;</cp:keywords>
  <dc:description/>
  <cp:lastModifiedBy>Kordybach, Krzysztof (Nokia - PL/Wroclaw)</cp:lastModifiedBy>
  <cp:revision>54</cp:revision>
  <cp:lastPrinted>2019-03-27T07:16:00Z</cp:lastPrinted>
  <dcterms:created xsi:type="dcterms:W3CDTF">2019-10-03T12:07:00Z</dcterms:created>
  <dcterms:modified xsi:type="dcterms:W3CDTF">2022-09-27T13:33:00Z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8120d121-6de2-43b6-901d-c112eec61dec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